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75" w:rsidRPr="00021934" w:rsidRDefault="004E4A94" w:rsidP="00C26A75">
      <w:pPr>
        <w:jc w:val="center"/>
        <w:rPr>
          <w:b/>
          <w:szCs w:val="24"/>
        </w:rPr>
      </w:pPr>
      <w:r w:rsidRPr="00021934">
        <w:rPr>
          <w:noProof/>
          <w:szCs w:val="24"/>
          <w:lang w:val="es-AR" w:eastAsia="es-AR"/>
        </w:rPr>
        <w:drawing>
          <wp:inline distT="0" distB="0" distL="0" distR="0">
            <wp:extent cx="1153160" cy="73977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75" w:rsidRPr="00021934" w:rsidRDefault="00C26A75" w:rsidP="00C26A75">
      <w:pPr>
        <w:jc w:val="center"/>
        <w:rPr>
          <w:szCs w:val="24"/>
        </w:rPr>
      </w:pPr>
    </w:p>
    <w:p w:rsidR="00C26A75" w:rsidRPr="00021934" w:rsidRDefault="00EB3492" w:rsidP="00C26A75">
      <w:pPr>
        <w:jc w:val="center"/>
        <w:rPr>
          <w:b/>
          <w:szCs w:val="24"/>
        </w:rPr>
      </w:pPr>
      <w:r w:rsidRPr="00021934">
        <w:rPr>
          <w:b/>
          <w:szCs w:val="24"/>
        </w:rPr>
        <w:t>2</w:t>
      </w:r>
      <w:r w:rsidR="00C33240">
        <w:rPr>
          <w:b/>
          <w:szCs w:val="24"/>
        </w:rPr>
        <w:t>7</w:t>
      </w:r>
      <w:r w:rsidR="00C26A75" w:rsidRPr="00021934">
        <w:rPr>
          <w:b/>
          <w:szCs w:val="24"/>
        </w:rPr>
        <w:t xml:space="preserve"> ° Olimpíada </w:t>
      </w:r>
      <w:r w:rsidR="008B02E8" w:rsidRPr="00021934">
        <w:rPr>
          <w:b/>
          <w:szCs w:val="24"/>
        </w:rPr>
        <w:t>de Energía y Ambiente</w:t>
      </w:r>
      <w:r w:rsidR="00C26A75" w:rsidRPr="00021934">
        <w:rPr>
          <w:b/>
          <w:szCs w:val="24"/>
        </w:rPr>
        <w:t xml:space="preserve"> - Año </w:t>
      </w:r>
      <w:r w:rsidR="00C33240">
        <w:rPr>
          <w:b/>
          <w:szCs w:val="24"/>
        </w:rPr>
        <w:t>2022</w:t>
      </w:r>
    </w:p>
    <w:p w:rsidR="00C26A75" w:rsidRPr="00021934" w:rsidRDefault="00C26A75" w:rsidP="00C26A75">
      <w:pPr>
        <w:pStyle w:val="Ttulo1"/>
        <w:rPr>
          <w:sz w:val="24"/>
          <w:szCs w:val="24"/>
        </w:rPr>
      </w:pPr>
      <w:r w:rsidRPr="00021934">
        <w:rPr>
          <w:sz w:val="24"/>
          <w:szCs w:val="24"/>
        </w:rPr>
        <w:t>Reglamento</w:t>
      </w:r>
    </w:p>
    <w:p w:rsidR="00C26A75" w:rsidRPr="00021934" w:rsidRDefault="00C26A75" w:rsidP="00C26A75">
      <w:pPr>
        <w:pStyle w:val="Encabezado"/>
        <w:tabs>
          <w:tab w:val="clear" w:pos="4252"/>
          <w:tab w:val="clear" w:pos="8504"/>
        </w:tabs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El Instituto Argentino del Petróleo y del Gas convoca a alumnos de colegios secundarios de todo</w:t>
      </w:r>
      <w:r w:rsidR="009001B4" w:rsidRPr="00021934">
        <w:rPr>
          <w:szCs w:val="24"/>
        </w:rPr>
        <w:t xml:space="preserve"> el país a participar de su 2</w:t>
      </w:r>
      <w:r w:rsidR="00EC168E">
        <w:rPr>
          <w:szCs w:val="24"/>
        </w:rPr>
        <w:t>6</w:t>
      </w:r>
      <w:r w:rsidR="00A271F8" w:rsidRPr="00021934">
        <w:rPr>
          <w:szCs w:val="24"/>
        </w:rPr>
        <w:t>º</w:t>
      </w:r>
      <w:r w:rsidRPr="00021934">
        <w:rPr>
          <w:szCs w:val="24"/>
        </w:rPr>
        <w:t xml:space="preserve"> Olimpíada, </w:t>
      </w:r>
      <w:r w:rsidR="00A271F8" w:rsidRPr="00021934">
        <w:rPr>
          <w:szCs w:val="24"/>
        </w:rPr>
        <w:t xml:space="preserve">dedicada en esta edición a la “Energía y el Ambiente”, </w:t>
      </w:r>
      <w:r w:rsidRPr="00021934">
        <w:rPr>
          <w:szCs w:val="24"/>
        </w:rPr>
        <w:t>que abarcará la</w:t>
      </w:r>
      <w:r w:rsidR="00A271F8" w:rsidRPr="00021934">
        <w:rPr>
          <w:szCs w:val="24"/>
        </w:rPr>
        <w:t>s</w:t>
      </w:r>
      <w:r w:rsidRPr="00021934">
        <w:rPr>
          <w:szCs w:val="24"/>
        </w:rPr>
        <w:t xml:space="preserve"> temática</w:t>
      </w:r>
      <w:r w:rsidR="00A271F8" w:rsidRPr="00021934">
        <w:rPr>
          <w:szCs w:val="24"/>
        </w:rPr>
        <w:t>s</w:t>
      </w:r>
      <w:r w:rsidRPr="00021934">
        <w:rPr>
          <w:szCs w:val="24"/>
        </w:rPr>
        <w:t xml:space="preserve"> de</w:t>
      </w:r>
      <w:r w:rsidR="00A271F8" w:rsidRPr="00021934">
        <w:rPr>
          <w:szCs w:val="24"/>
        </w:rPr>
        <w:t>: matriz energética; fuentes renovables y no renovables de energía; emisiones de invernadero y cambio climático; y el uso eficiente</w:t>
      </w:r>
      <w:r w:rsidRPr="00021934">
        <w:rPr>
          <w:szCs w:val="24"/>
        </w:rPr>
        <w:t xml:space="preserve"> de los recursos energéticos. 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presente Olimpíada tiene su sede en el Instituto Argentino del Petróleo y del Gas (IAPG), Maipú 645, 3er. Piso, CP C1006ACG Ciudad Autónoma de Buenos Aires.</w:t>
      </w:r>
    </w:p>
    <w:p w:rsidR="00893310" w:rsidRPr="00021934" w:rsidRDefault="00893310" w:rsidP="00C26A75">
      <w:pPr>
        <w:rPr>
          <w:b/>
          <w:i/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2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Olimpíada tiene como objetivos fundamentales: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6A5315" w:rsidRPr="00021934">
        <w:rPr>
          <w:szCs w:val="24"/>
        </w:rPr>
        <w:t>Incentivar en los jóvenes el estudio de temas vinculados con la energía.</w:t>
      </w: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Promover una conciencia social en torno del tema.</w:t>
      </w: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Difundir conceptos básicos sobre la </w:t>
      </w:r>
      <w:r w:rsidR="00A271F8" w:rsidRPr="00021934">
        <w:rPr>
          <w:szCs w:val="24"/>
        </w:rPr>
        <w:t>energía, su uso eficiente y responsable, y los impactos en el ambiente de su producción y uso.</w:t>
      </w: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A271F8" w:rsidRPr="00021934">
        <w:rPr>
          <w:szCs w:val="24"/>
        </w:rPr>
        <w:t xml:space="preserve">Despertar vocaciones en </w:t>
      </w:r>
      <w:r w:rsidR="008717A3" w:rsidRPr="00021934">
        <w:rPr>
          <w:szCs w:val="24"/>
        </w:rPr>
        <w:t>l</w:t>
      </w:r>
      <w:r w:rsidR="008717A3">
        <w:rPr>
          <w:szCs w:val="24"/>
        </w:rPr>
        <w:t>o</w:t>
      </w:r>
      <w:r w:rsidR="008717A3" w:rsidRPr="00021934">
        <w:rPr>
          <w:szCs w:val="24"/>
        </w:rPr>
        <w:t>s jóvenes</w:t>
      </w:r>
      <w:r w:rsidR="008717A3">
        <w:rPr>
          <w:szCs w:val="24"/>
        </w:rPr>
        <w:t xml:space="preserve"> </w:t>
      </w:r>
      <w:r w:rsidR="008717A3" w:rsidRPr="00021934">
        <w:rPr>
          <w:szCs w:val="24"/>
        </w:rPr>
        <w:t>relativas</w:t>
      </w:r>
      <w:r w:rsidR="00A271F8" w:rsidRPr="00021934">
        <w:rPr>
          <w:szCs w:val="24"/>
        </w:rPr>
        <w:t xml:space="preserve"> a la temática.</w:t>
      </w:r>
    </w:p>
    <w:p w:rsidR="00C26A75" w:rsidRPr="00021934" w:rsidRDefault="0019718A" w:rsidP="00C26A75">
      <w:pPr>
        <w:ind w:left="357" w:hanging="357"/>
        <w:rPr>
          <w:strike/>
          <w:color w:val="FF0000"/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12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Fomentar el espíritu de competencia</w:t>
      </w:r>
      <w:r w:rsidR="00E709F7" w:rsidRPr="00021934">
        <w:rPr>
          <w:szCs w:val="24"/>
        </w:rPr>
        <w:t>.</w:t>
      </w:r>
    </w:p>
    <w:p w:rsidR="00C26A75" w:rsidRPr="00021934" w:rsidRDefault="00C26A75" w:rsidP="00C26A75">
      <w:pPr>
        <w:rPr>
          <w:strike/>
          <w:color w:val="FF0000"/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3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Olimpíada es una competencia entre alumnos regu</w:t>
      </w:r>
      <w:r w:rsidR="00BE2BA1" w:rsidRPr="00021934">
        <w:rPr>
          <w:szCs w:val="24"/>
        </w:rPr>
        <w:t xml:space="preserve">lares del </w:t>
      </w:r>
      <w:r w:rsidRPr="00021934">
        <w:rPr>
          <w:szCs w:val="24"/>
        </w:rPr>
        <w:t xml:space="preserve">nivel secundario / medio de todo el país o </w:t>
      </w:r>
      <w:r w:rsidR="006A5315" w:rsidRPr="00021934">
        <w:rPr>
          <w:szCs w:val="24"/>
        </w:rPr>
        <w:t xml:space="preserve">sus modalidades </w:t>
      </w:r>
      <w:r w:rsidRPr="00021934">
        <w:rPr>
          <w:szCs w:val="24"/>
        </w:rPr>
        <w:t>equivalente</w:t>
      </w:r>
      <w:r w:rsidR="006A5315" w:rsidRPr="00021934">
        <w:rPr>
          <w:szCs w:val="24"/>
        </w:rPr>
        <w:t>s</w:t>
      </w:r>
      <w:r w:rsidRPr="00021934">
        <w:rPr>
          <w:szCs w:val="24"/>
        </w:rPr>
        <w:t xml:space="preserve"> </w:t>
      </w:r>
      <w:r w:rsidR="006A5315" w:rsidRPr="00021934">
        <w:rPr>
          <w:szCs w:val="24"/>
        </w:rPr>
        <w:t xml:space="preserve">conforme lo dispuesto en la  </w:t>
      </w:r>
      <w:r w:rsidRPr="00021934">
        <w:rPr>
          <w:szCs w:val="24"/>
        </w:rPr>
        <w:t>“Ley de Educación Nacional”</w:t>
      </w:r>
      <w:r w:rsidR="006A5315" w:rsidRPr="00021934">
        <w:rPr>
          <w:szCs w:val="24"/>
        </w:rPr>
        <w:t xml:space="preserve"> Nº 26.206</w:t>
      </w:r>
      <w:r w:rsidRPr="00021934">
        <w:rPr>
          <w:szCs w:val="24"/>
        </w:rPr>
        <w:t xml:space="preserve">. El </w:t>
      </w:r>
      <w:r w:rsidR="002344E8" w:rsidRPr="00021934">
        <w:rPr>
          <w:szCs w:val="24"/>
        </w:rPr>
        <w:t>Instituto Argentino del Petróleo y del Gas</w:t>
      </w:r>
      <w:r w:rsidRPr="00021934">
        <w:rPr>
          <w:szCs w:val="24"/>
        </w:rPr>
        <w:t xml:space="preserve"> se reserva el derecho de invitar a participar a alumnos de niveles educacionales equivalentes de otros países.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4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Olimpíada abarca cuatro instancias: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1° - Selección local.</w:t>
      </w: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2° - Selección zonal.</w:t>
      </w: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3° - Certamen semifinal regional.</w:t>
      </w: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4° - Certamen final nacional.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lastRenderedPageBreak/>
        <w:t>Art. 5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 xml:space="preserve">El IAPG distribuirá </w:t>
      </w:r>
      <w:r w:rsidR="002E6689" w:rsidRPr="00021934">
        <w:rPr>
          <w:szCs w:val="24"/>
        </w:rPr>
        <w:t xml:space="preserve">el </w:t>
      </w:r>
      <w:r w:rsidRPr="00021934">
        <w:rPr>
          <w:szCs w:val="24"/>
        </w:rPr>
        <w:t>material didáctico e información bibliográfica a todas las sedes habilitadas</w:t>
      </w:r>
      <w:r w:rsidR="002E6689" w:rsidRPr="00021934">
        <w:rPr>
          <w:szCs w:val="24"/>
        </w:rPr>
        <w:t xml:space="preserve"> a tal fin.</w:t>
      </w:r>
    </w:p>
    <w:p w:rsidR="002E6689" w:rsidRPr="00021934" w:rsidRDefault="002E6689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6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organización académica de la Olimpíada estará constituida por:</w:t>
      </w:r>
    </w:p>
    <w:p w:rsidR="00C26A75" w:rsidRPr="00021934" w:rsidRDefault="00C26A75" w:rsidP="00C26A75">
      <w:pPr>
        <w:rPr>
          <w:szCs w:val="24"/>
          <w:highlight w:val="yellow"/>
        </w:rPr>
      </w:pPr>
    </w:p>
    <w:p w:rsidR="00C26A75" w:rsidRPr="00021934" w:rsidRDefault="00C26A75" w:rsidP="00C26A75">
      <w:pPr>
        <w:numPr>
          <w:ilvl w:val="0"/>
          <w:numId w:val="3"/>
        </w:numPr>
        <w:rPr>
          <w:szCs w:val="24"/>
        </w:rPr>
      </w:pPr>
      <w:r w:rsidRPr="00021934">
        <w:rPr>
          <w:szCs w:val="24"/>
        </w:rPr>
        <w:t xml:space="preserve">Un Consejo Superior integrado por el Presidente del IAPG, el Director General del IAPG, el </w:t>
      </w:r>
      <w:r w:rsidR="002344E8" w:rsidRPr="00021934">
        <w:rPr>
          <w:szCs w:val="24"/>
        </w:rPr>
        <w:t>Director de Relaciones Institucionales y Administración, y el Director Técnico de Petróleo y Gas.</w:t>
      </w:r>
    </w:p>
    <w:p w:rsidR="00C26A75" w:rsidRPr="00021934" w:rsidRDefault="00C26A75" w:rsidP="00C26A75">
      <w:pPr>
        <w:jc w:val="left"/>
        <w:rPr>
          <w:szCs w:val="24"/>
          <w:highlight w:val="yellow"/>
        </w:rPr>
      </w:pPr>
    </w:p>
    <w:p w:rsidR="00C26A75" w:rsidRPr="00021934" w:rsidRDefault="002344E8" w:rsidP="00C26A75">
      <w:pPr>
        <w:pStyle w:val="Sangradetextonormal"/>
        <w:numPr>
          <w:ilvl w:val="0"/>
          <w:numId w:val="3"/>
        </w:numPr>
        <w:rPr>
          <w:sz w:val="24"/>
          <w:szCs w:val="24"/>
        </w:rPr>
      </w:pPr>
      <w:r w:rsidRPr="00021934">
        <w:rPr>
          <w:sz w:val="24"/>
          <w:szCs w:val="24"/>
        </w:rPr>
        <w:t xml:space="preserve">Una Comisión de Educación </w:t>
      </w:r>
      <w:r w:rsidR="00C26A75" w:rsidRPr="00021934">
        <w:rPr>
          <w:sz w:val="24"/>
          <w:szCs w:val="24"/>
        </w:rPr>
        <w:t>integrad</w:t>
      </w:r>
      <w:r w:rsidRPr="00021934">
        <w:rPr>
          <w:sz w:val="24"/>
          <w:szCs w:val="24"/>
        </w:rPr>
        <w:t>a</w:t>
      </w:r>
      <w:r w:rsidR="00C26A75" w:rsidRPr="00021934">
        <w:rPr>
          <w:sz w:val="24"/>
          <w:szCs w:val="24"/>
        </w:rPr>
        <w:t xml:space="preserve"> por</w:t>
      </w:r>
      <w:r w:rsidR="002E6689" w:rsidRPr="00021934">
        <w:rPr>
          <w:sz w:val="24"/>
          <w:szCs w:val="24"/>
        </w:rPr>
        <w:t xml:space="preserve"> los siguientes profesionales</w:t>
      </w:r>
      <w:r w:rsidR="00C26A75" w:rsidRPr="00021934">
        <w:rPr>
          <w:sz w:val="24"/>
          <w:szCs w:val="24"/>
        </w:rPr>
        <w:t xml:space="preserve">: </w:t>
      </w:r>
      <w:r w:rsidRPr="00021934">
        <w:rPr>
          <w:sz w:val="24"/>
          <w:szCs w:val="24"/>
        </w:rPr>
        <w:t xml:space="preserve">Gabriela </w:t>
      </w:r>
      <w:proofErr w:type="spellStart"/>
      <w:r w:rsidRPr="00021934">
        <w:rPr>
          <w:sz w:val="24"/>
          <w:szCs w:val="24"/>
        </w:rPr>
        <w:t>Roselló</w:t>
      </w:r>
      <w:proofErr w:type="spellEnd"/>
      <w:r w:rsidRPr="00021934">
        <w:rPr>
          <w:sz w:val="24"/>
          <w:szCs w:val="24"/>
        </w:rPr>
        <w:t xml:space="preserve"> </w:t>
      </w:r>
      <w:r w:rsidR="00C26A75" w:rsidRPr="00021934">
        <w:rPr>
          <w:sz w:val="24"/>
          <w:szCs w:val="24"/>
        </w:rPr>
        <w:t xml:space="preserve">(Total Austral S.A.), </w:t>
      </w:r>
      <w:r w:rsidR="00F6665A">
        <w:rPr>
          <w:sz w:val="24"/>
          <w:szCs w:val="24"/>
        </w:rPr>
        <w:t>Cristina Sarabia (</w:t>
      </w:r>
      <w:proofErr w:type="spellStart"/>
      <w:r w:rsidR="00F6665A">
        <w:rPr>
          <w:sz w:val="24"/>
          <w:szCs w:val="24"/>
        </w:rPr>
        <w:t>Pluspetrol</w:t>
      </w:r>
      <w:proofErr w:type="spellEnd"/>
      <w:r w:rsidR="00F6665A">
        <w:rPr>
          <w:sz w:val="24"/>
          <w:szCs w:val="24"/>
        </w:rPr>
        <w:t xml:space="preserve"> S.A.); </w:t>
      </w:r>
      <w:r w:rsidR="00C26A75" w:rsidRPr="00021934">
        <w:rPr>
          <w:sz w:val="24"/>
          <w:szCs w:val="24"/>
        </w:rPr>
        <w:t>Carlos Casares</w:t>
      </w:r>
      <w:r w:rsidR="00366C3C" w:rsidRPr="00021934">
        <w:rPr>
          <w:sz w:val="24"/>
          <w:szCs w:val="24"/>
        </w:rPr>
        <w:t xml:space="preserve"> (Socio Personal)</w:t>
      </w:r>
      <w:r w:rsidR="00897B63" w:rsidRPr="00021934">
        <w:rPr>
          <w:sz w:val="24"/>
          <w:szCs w:val="24"/>
        </w:rPr>
        <w:t xml:space="preserve">, Rubén </w:t>
      </w:r>
      <w:proofErr w:type="spellStart"/>
      <w:r w:rsidR="00897B63" w:rsidRPr="00021934">
        <w:rPr>
          <w:sz w:val="24"/>
          <w:szCs w:val="24"/>
        </w:rPr>
        <w:t>Caligari</w:t>
      </w:r>
      <w:proofErr w:type="spellEnd"/>
      <w:r w:rsidR="00897B63" w:rsidRPr="00021934">
        <w:rPr>
          <w:sz w:val="24"/>
          <w:szCs w:val="24"/>
        </w:rPr>
        <w:t xml:space="preserve"> (Socio Personal</w:t>
      </w:r>
      <w:r w:rsidR="00AB2035" w:rsidRPr="00021934">
        <w:rPr>
          <w:sz w:val="24"/>
          <w:szCs w:val="24"/>
        </w:rPr>
        <w:t>)</w:t>
      </w:r>
      <w:r w:rsidR="009001B4" w:rsidRPr="00021934">
        <w:rPr>
          <w:sz w:val="24"/>
          <w:szCs w:val="24"/>
        </w:rPr>
        <w:t xml:space="preserve">, </w:t>
      </w:r>
      <w:r w:rsidRPr="00021934">
        <w:rPr>
          <w:sz w:val="24"/>
          <w:szCs w:val="24"/>
        </w:rPr>
        <w:t xml:space="preserve">Héctor Tamanini (Socio Personal), </w:t>
      </w:r>
      <w:r w:rsidR="00F6665A">
        <w:rPr>
          <w:sz w:val="24"/>
          <w:szCs w:val="24"/>
        </w:rPr>
        <w:t>Gustavo Gallo (Fundación YPF)</w:t>
      </w:r>
      <w:r w:rsidR="004E4A94" w:rsidRPr="00021934">
        <w:rPr>
          <w:sz w:val="24"/>
          <w:szCs w:val="24"/>
        </w:rPr>
        <w:t xml:space="preserve">, </w:t>
      </w:r>
      <w:r w:rsidRPr="00021934">
        <w:rPr>
          <w:sz w:val="24"/>
          <w:szCs w:val="24"/>
        </w:rPr>
        <w:t xml:space="preserve">Martín </w:t>
      </w:r>
      <w:proofErr w:type="spellStart"/>
      <w:r w:rsidRPr="00021934">
        <w:rPr>
          <w:sz w:val="24"/>
          <w:szCs w:val="24"/>
        </w:rPr>
        <w:t>Kaindl</w:t>
      </w:r>
      <w:proofErr w:type="spellEnd"/>
      <w:r w:rsidRPr="00021934">
        <w:rPr>
          <w:sz w:val="24"/>
          <w:szCs w:val="24"/>
        </w:rPr>
        <w:t xml:space="preserve">, (IAPG), Daniel </w:t>
      </w:r>
      <w:proofErr w:type="spellStart"/>
      <w:r w:rsidRPr="00021934">
        <w:rPr>
          <w:sz w:val="24"/>
          <w:szCs w:val="24"/>
        </w:rPr>
        <w:t>Rellán</w:t>
      </w:r>
      <w:proofErr w:type="spellEnd"/>
      <w:r w:rsidR="00F6665A">
        <w:rPr>
          <w:sz w:val="24"/>
          <w:szCs w:val="24"/>
        </w:rPr>
        <w:t xml:space="preserve"> (IAPG), Eduardo </w:t>
      </w:r>
      <w:proofErr w:type="spellStart"/>
      <w:r w:rsidR="00F6665A">
        <w:rPr>
          <w:sz w:val="24"/>
          <w:szCs w:val="24"/>
        </w:rPr>
        <w:t>Abriata</w:t>
      </w:r>
      <w:proofErr w:type="spellEnd"/>
      <w:r w:rsidR="00F6665A">
        <w:rPr>
          <w:sz w:val="24"/>
          <w:szCs w:val="24"/>
        </w:rPr>
        <w:t xml:space="preserve"> (IAPG)</w:t>
      </w:r>
      <w:r w:rsidRPr="00021934">
        <w:rPr>
          <w:sz w:val="24"/>
          <w:szCs w:val="24"/>
        </w:rPr>
        <w:t xml:space="preserve"> y </w:t>
      </w:r>
      <w:r w:rsidR="00EB3492" w:rsidRPr="00021934">
        <w:rPr>
          <w:sz w:val="24"/>
          <w:szCs w:val="24"/>
        </w:rPr>
        <w:t xml:space="preserve">Fernando </w:t>
      </w:r>
      <w:proofErr w:type="spellStart"/>
      <w:r w:rsidR="00EB3492" w:rsidRPr="00021934">
        <w:rPr>
          <w:sz w:val="24"/>
          <w:szCs w:val="24"/>
        </w:rPr>
        <w:t>Halperín</w:t>
      </w:r>
      <w:proofErr w:type="spellEnd"/>
      <w:r w:rsidR="00EB3492" w:rsidRPr="00021934">
        <w:rPr>
          <w:sz w:val="24"/>
          <w:szCs w:val="24"/>
        </w:rPr>
        <w:t xml:space="preserve"> (IAPG)</w:t>
      </w:r>
      <w:r w:rsidRPr="00021934">
        <w:rPr>
          <w:sz w:val="24"/>
          <w:szCs w:val="24"/>
        </w:rPr>
        <w:t>.</w:t>
      </w:r>
      <w:r w:rsidR="00EB3492" w:rsidRPr="00021934">
        <w:rPr>
          <w:sz w:val="24"/>
          <w:szCs w:val="24"/>
        </w:rPr>
        <w:t xml:space="preserve"> </w:t>
      </w:r>
    </w:p>
    <w:p w:rsidR="00C26A75" w:rsidRPr="00021934" w:rsidRDefault="00C26A75" w:rsidP="00C26A75">
      <w:pPr>
        <w:pStyle w:val="Sangradetextonormal"/>
        <w:ind w:left="720" w:firstLine="0"/>
        <w:rPr>
          <w:sz w:val="24"/>
          <w:szCs w:val="24"/>
          <w:highlight w:val="yellow"/>
        </w:rPr>
      </w:pPr>
    </w:p>
    <w:p w:rsidR="00C26A75" w:rsidRPr="00021934" w:rsidRDefault="00C26A75" w:rsidP="00C26A75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1934">
        <w:rPr>
          <w:rFonts w:ascii="Times New Roman" w:hAnsi="Times New Roman"/>
          <w:sz w:val="24"/>
          <w:szCs w:val="24"/>
        </w:rPr>
        <w:t xml:space="preserve">Un Comité Asesor integrado </w:t>
      </w:r>
      <w:r w:rsidR="007B03DA" w:rsidRPr="00021934">
        <w:rPr>
          <w:rFonts w:ascii="Times New Roman" w:hAnsi="Times New Roman"/>
          <w:sz w:val="24"/>
          <w:szCs w:val="24"/>
        </w:rPr>
        <w:t xml:space="preserve">por </w:t>
      </w:r>
      <w:r w:rsidR="00444F2B" w:rsidRPr="00021934">
        <w:rPr>
          <w:rFonts w:ascii="Times New Roman" w:hAnsi="Times New Roman"/>
          <w:sz w:val="24"/>
          <w:szCs w:val="24"/>
        </w:rPr>
        <w:t xml:space="preserve">un psicopedagogo </w:t>
      </w:r>
      <w:r w:rsidR="004E4A94" w:rsidRPr="00021934">
        <w:rPr>
          <w:rFonts w:ascii="Times New Roman" w:hAnsi="Times New Roman"/>
          <w:sz w:val="24"/>
          <w:szCs w:val="24"/>
        </w:rPr>
        <w:t xml:space="preserve">especializado en temas de energía y medio ambiente, </w:t>
      </w:r>
      <w:r w:rsidR="00444F2B" w:rsidRPr="00021934">
        <w:rPr>
          <w:rFonts w:ascii="Times New Roman" w:hAnsi="Times New Roman"/>
          <w:sz w:val="24"/>
          <w:szCs w:val="24"/>
        </w:rPr>
        <w:t>designado en cada edición.</w:t>
      </w:r>
    </w:p>
    <w:p w:rsidR="00C26A75" w:rsidRPr="00021934" w:rsidRDefault="00C26A75" w:rsidP="00C26A75">
      <w:pPr>
        <w:pStyle w:val="Prrafodelista"/>
        <w:rPr>
          <w:szCs w:val="24"/>
          <w:highlight w:val="yellow"/>
          <w:lang w:val="es-ES"/>
        </w:rPr>
      </w:pPr>
    </w:p>
    <w:p w:rsidR="00C26A75" w:rsidRPr="00021934" w:rsidRDefault="00C26A75" w:rsidP="00C26A75">
      <w:pPr>
        <w:pStyle w:val="Sangradetextonormal"/>
        <w:numPr>
          <w:ilvl w:val="0"/>
          <w:numId w:val="3"/>
        </w:numPr>
        <w:rPr>
          <w:sz w:val="24"/>
          <w:szCs w:val="24"/>
        </w:rPr>
      </w:pPr>
      <w:r w:rsidRPr="00021934">
        <w:rPr>
          <w:sz w:val="24"/>
          <w:szCs w:val="24"/>
        </w:rPr>
        <w:t>Asesor Legal del IAPG.</w:t>
      </w:r>
    </w:p>
    <w:p w:rsidR="00C26A75" w:rsidRPr="00021934" w:rsidRDefault="00C26A75" w:rsidP="00C26A75">
      <w:pPr>
        <w:pStyle w:val="Prrafodelista"/>
        <w:rPr>
          <w:szCs w:val="24"/>
          <w:highlight w:val="yellow"/>
        </w:rPr>
      </w:pPr>
    </w:p>
    <w:p w:rsidR="00C26A75" w:rsidRPr="00021934" w:rsidRDefault="00C26A75" w:rsidP="00C26A75">
      <w:pPr>
        <w:pStyle w:val="Sangradetextonormal"/>
        <w:numPr>
          <w:ilvl w:val="0"/>
          <w:numId w:val="3"/>
        </w:numPr>
        <w:rPr>
          <w:sz w:val="24"/>
          <w:szCs w:val="24"/>
        </w:rPr>
      </w:pPr>
      <w:r w:rsidRPr="00021934">
        <w:rPr>
          <w:sz w:val="24"/>
          <w:szCs w:val="24"/>
        </w:rPr>
        <w:t>Coordinadores Administrativos</w:t>
      </w:r>
      <w:r w:rsidR="002E6689" w:rsidRPr="00021934">
        <w:rPr>
          <w:color w:val="FF0000"/>
          <w:sz w:val="24"/>
          <w:szCs w:val="24"/>
        </w:rPr>
        <w:t>:</w:t>
      </w:r>
      <w:r w:rsidRPr="00021934">
        <w:rPr>
          <w:sz w:val="24"/>
          <w:szCs w:val="24"/>
        </w:rPr>
        <w:t xml:space="preserve"> Andrés Peña Sepúlveda (IAPG</w:t>
      </w:r>
      <w:r w:rsidR="002344E8" w:rsidRPr="00021934">
        <w:rPr>
          <w:sz w:val="24"/>
          <w:szCs w:val="24"/>
        </w:rPr>
        <w:t>)</w:t>
      </w:r>
      <w:r w:rsidR="00633B90" w:rsidRPr="00021934">
        <w:rPr>
          <w:sz w:val="24"/>
          <w:szCs w:val="24"/>
        </w:rPr>
        <w:t xml:space="preserve"> </w:t>
      </w:r>
      <w:r w:rsidR="002344E8" w:rsidRPr="00021934">
        <w:rPr>
          <w:sz w:val="24"/>
          <w:szCs w:val="24"/>
        </w:rPr>
        <w:t>y</w:t>
      </w:r>
      <w:r w:rsidR="00633B90" w:rsidRPr="00021934">
        <w:rPr>
          <w:sz w:val="24"/>
          <w:szCs w:val="24"/>
        </w:rPr>
        <w:t xml:space="preserve"> Miriam Gómez Ramírez (IAPG).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pStyle w:val="Ttulo2"/>
        <w:ind w:left="0" w:firstLine="0"/>
        <w:rPr>
          <w:sz w:val="24"/>
          <w:szCs w:val="24"/>
        </w:rPr>
      </w:pPr>
      <w:r w:rsidRPr="00021934">
        <w:rPr>
          <w:sz w:val="24"/>
          <w:szCs w:val="24"/>
        </w:rPr>
        <w:t>Art. 7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 xml:space="preserve">El Consejo Superior y </w:t>
      </w:r>
      <w:r w:rsidR="00633B90" w:rsidRPr="00021934">
        <w:rPr>
          <w:szCs w:val="24"/>
        </w:rPr>
        <w:t>la Comisión de Educación</w:t>
      </w:r>
      <w:r w:rsidRPr="00021934">
        <w:rPr>
          <w:szCs w:val="24"/>
        </w:rPr>
        <w:t xml:space="preserve"> arbitrarán los medios para solventar los gastos que demande el proyecto y administración de los fondos.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8</w:t>
      </w:r>
    </w:p>
    <w:p w:rsidR="00C26A75" w:rsidRPr="00021934" w:rsidRDefault="00C26A75" w:rsidP="00C26A75">
      <w:pPr>
        <w:rPr>
          <w:b/>
          <w:i/>
          <w:szCs w:val="24"/>
        </w:rPr>
      </w:pPr>
    </w:p>
    <w:p w:rsidR="00C26A75" w:rsidRPr="00021934" w:rsidRDefault="00C26A75" w:rsidP="00C26A75">
      <w:pPr>
        <w:rPr>
          <w:color w:val="FF0000"/>
          <w:szCs w:val="24"/>
        </w:rPr>
      </w:pPr>
      <w:r w:rsidRPr="00021934">
        <w:rPr>
          <w:szCs w:val="24"/>
        </w:rPr>
        <w:t xml:space="preserve">El Comité Asesor, integrado por científicos </w:t>
      </w:r>
      <w:r w:rsidR="004E4A94" w:rsidRPr="00021934">
        <w:rPr>
          <w:szCs w:val="24"/>
        </w:rPr>
        <w:t xml:space="preserve">y técnicos </w:t>
      </w:r>
      <w:r w:rsidRPr="00021934">
        <w:rPr>
          <w:szCs w:val="24"/>
        </w:rPr>
        <w:t xml:space="preserve">expertos en los tema a desarrollar, colaborará en </w:t>
      </w:r>
      <w:r w:rsidR="002E6689" w:rsidRPr="00021934">
        <w:rPr>
          <w:szCs w:val="24"/>
        </w:rPr>
        <w:t xml:space="preserve">el desarrollo de los contenidos del temario </w:t>
      </w:r>
      <w:r w:rsidRPr="00021934">
        <w:rPr>
          <w:szCs w:val="24"/>
        </w:rPr>
        <w:t>de esta Olimpíada.</w:t>
      </w:r>
    </w:p>
    <w:p w:rsidR="00C26A75" w:rsidRPr="00021934" w:rsidRDefault="00C26A75" w:rsidP="00C26A75">
      <w:pPr>
        <w:ind w:left="357" w:hanging="357"/>
        <w:rPr>
          <w:color w:val="FF0000"/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9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El Consejo Superior intervendrá en: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19718A" w:rsidP="00444F2B">
      <w:pPr>
        <w:ind w:left="426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2E6689" w:rsidRPr="00021934">
        <w:rPr>
          <w:szCs w:val="24"/>
        </w:rPr>
        <w:t>La i</w:t>
      </w:r>
      <w:r w:rsidR="00C26A75" w:rsidRPr="00021934">
        <w:rPr>
          <w:szCs w:val="24"/>
        </w:rPr>
        <w:t>nstancia final de arbitraje académico y/o administrativo.</w:t>
      </w:r>
    </w:p>
    <w:p w:rsidR="00C26A75" w:rsidRPr="00021934" w:rsidRDefault="0019718A" w:rsidP="00444F2B">
      <w:pPr>
        <w:ind w:left="426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2E6689" w:rsidRPr="00021934">
        <w:rPr>
          <w:szCs w:val="24"/>
        </w:rPr>
        <w:t xml:space="preserve">La toma de decisiones  de </w:t>
      </w:r>
      <w:r w:rsidR="00C26A75" w:rsidRPr="00021934">
        <w:rPr>
          <w:szCs w:val="24"/>
        </w:rPr>
        <w:t xml:space="preserve">situaciones no previstas en el presente </w:t>
      </w:r>
      <w:r w:rsidR="002E6689" w:rsidRPr="00021934">
        <w:rPr>
          <w:szCs w:val="24"/>
        </w:rPr>
        <w:t>R</w:t>
      </w:r>
      <w:r w:rsidR="00C26A75" w:rsidRPr="00021934">
        <w:rPr>
          <w:szCs w:val="24"/>
        </w:rPr>
        <w:t>eglamento.</w:t>
      </w:r>
    </w:p>
    <w:p w:rsidR="00C26A75" w:rsidRPr="00021934" w:rsidRDefault="0019718A" w:rsidP="00444F2B">
      <w:pPr>
        <w:ind w:left="426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2E6689" w:rsidRPr="00021934">
        <w:rPr>
          <w:szCs w:val="24"/>
        </w:rPr>
        <w:t xml:space="preserve">La </w:t>
      </w:r>
      <w:r w:rsidR="00C26A75" w:rsidRPr="00021934">
        <w:rPr>
          <w:szCs w:val="24"/>
        </w:rPr>
        <w:t>Nomina</w:t>
      </w:r>
      <w:r w:rsidR="002E6689" w:rsidRPr="00021934">
        <w:rPr>
          <w:szCs w:val="24"/>
        </w:rPr>
        <w:t xml:space="preserve">ción de </w:t>
      </w:r>
      <w:r w:rsidR="00C26A75" w:rsidRPr="00021934">
        <w:rPr>
          <w:szCs w:val="24"/>
        </w:rPr>
        <w:t>los responsables de cada Seccional/Delegación.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10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553841" w:rsidP="00C26A75">
      <w:pPr>
        <w:rPr>
          <w:szCs w:val="24"/>
        </w:rPr>
      </w:pPr>
      <w:r w:rsidRPr="00021934">
        <w:rPr>
          <w:szCs w:val="24"/>
        </w:rPr>
        <w:t xml:space="preserve">La Comisión de Educación será </w:t>
      </w:r>
      <w:r w:rsidR="00C26A75" w:rsidRPr="00021934">
        <w:rPr>
          <w:szCs w:val="24"/>
        </w:rPr>
        <w:t>l</w:t>
      </w:r>
      <w:r w:rsidRPr="00021934">
        <w:rPr>
          <w:szCs w:val="24"/>
        </w:rPr>
        <w:t>a</w:t>
      </w:r>
      <w:r w:rsidR="00C26A75" w:rsidRPr="00021934">
        <w:rPr>
          <w:szCs w:val="24"/>
        </w:rPr>
        <w:t xml:space="preserve"> responsable de la puesta en marcha y desarrollo de la Olimpíada.   Sus funciones son: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Supervisar todo el material bibliográfico.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Mantener la comunicación con los colegios participantes durante el desarrollo anual de toda la competencia.    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Determinar lugar y fecha de los certámenes.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Redactar y supervisar las preguntas </w:t>
      </w:r>
      <w:r w:rsidR="0047274F" w:rsidRPr="00021934">
        <w:rPr>
          <w:szCs w:val="24"/>
        </w:rPr>
        <w:t xml:space="preserve">del examen que se </w:t>
      </w:r>
      <w:r w:rsidR="00C26A75" w:rsidRPr="00021934">
        <w:rPr>
          <w:szCs w:val="24"/>
        </w:rPr>
        <w:t>tomará en las tres últimas instancias mencionadas en el Art. 4°.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Proponer los criterios para la aprobación de las tres instancias antes mencionadas.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Publicar las convocatorias a los concursos y los resultados de los certámenes.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Nominar a los responsables de cada sede.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Efectuar las evaluaciones del 3° y 4° certamen (Art. 4°).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Realizar reuniones periódicas para </w:t>
      </w:r>
      <w:r w:rsidR="0047274F" w:rsidRPr="00021934">
        <w:rPr>
          <w:szCs w:val="24"/>
        </w:rPr>
        <w:t xml:space="preserve">efectuar  los </w:t>
      </w:r>
      <w:r w:rsidR="00C26A75" w:rsidRPr="00021934">
        <w:rPr>
          <w:szCs w:val="24"/>
        </w:rPr>
        <w:t>ajustes</w:t>
      </w:r>
      <w:r w:rsidR="0047274F" w:rsidRPr="00021934">
        <w:rPr>
          <w:szCs w:val="24"/>
        </w:rPr>
        <w:t xml:space="preserve"> que fueren necesarios</w:t>
      </w:r>
      <w:r w:rsidR="00C26A75" w:rsidRPr="00021934">
        <w:rPr>
          <w:szCs w:val="24"/>
        </w:rPr>
        <w:t xml:space="preserve"> y coordinar actividades adicionales.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11</w:t>
      </w:r>
    </w:p>
    <w:p w:rsidR="00C26A75" w:rsidRPr="00021934" w:rsidRDefault="00C26A75" w:rsidP="00C26A75">
      <w:pPr>
        <w:rPr>
          <w:b/>
          <w:i/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selección local (Art. 4°) estará a cargo de cada establecimiento educativo. Una vez definidos los ganadores de la misma, los representantes de cada establecimiento deberán competir en los centros educativos habilitados para la selección zonal.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szCs w:val="24"/>
        </w:rPr>
        <w:t xml:space="preserve">La comunicación de los alumnos </w:t>
      </w:r>
      <w:r w:rsidR="0047274F" w:rsidRPr="00021934">
        <w:rPr>
          <w:szCs w:val="24"/>
        </w:rPr>
        <w:t xml:space="preserve">que resulten </w:t>
      </w:r>
      <w:r w:rsidRPr="00021934">
        <w:rPr>
          <w:szCs w:val="24"/>
        </w:rPr>
        <w:t>seleccionados</w:t>
      </w:r>
      <w:r w:rsidRPr="00021934">
        <w:rPr>
          <w:strike/>
          <w:szCs w:val="24"/>
        </w:rPr>
        <w:t xml:space="preserve"> </w:t>
      </w:r>
      <w:r w:rsidRPr="00021934">
        <w:rPr>
          <w:szCs w:val="24"/>
        </w:rPr>
        <w:t xml:space="preserve">en esta última etapa, deberá efectuarse </w:t>
      </w:r>
      <w:r w:rsidR="0047274F" w:rsidRPr="00021934">
        <w:rPr>
          <w:szCs w:val="24"/>
        </w:rPr>
        <w:t>tanto</w:t>
      </w:r>
      <w:r w:rsidR="0047274F" w:rsidRPr="00021934">
        <w:rPr>
          <w:color w:val="FF0000"/>
          <w:szCs w:val="24"/>
        </w:rPr>
        <w:t xml:space="preserve"> </w:t>
      </w:r>
      <w:r w:rsidRPr="00021934">
        <w:rPr>
          <w:szCs w:val="24"/>
        </w:rPr>
        <w:t xml:space="preserve">al IAPG  </w:t>
      </w:r>
      <w:r w:rsidR="0047274F" w:rsidRPr="00021934">
        <w:rPr>
          <w:szCs w:val="24"/>
        </w:rPr>
        <w:t xml:space="preserve">como </w:t>
      </w:r>
      <w:r w:rsidRPr="00021934">
        <w:rPr>
          <w:szCs w:val="24"/>
        </w:rPr>
        <w:t xml:space="preserve">a la sede regional hasta dos semanas antes de la realización del certamen semifinal regional. La comunicación de los alumnos </w:t>
      </w:r>
      <w:r w:rsidR="0047274F" w:rsidRPr="00021934">
        <w:rPr>
          <w:szCs w:val="24"/>
        </w:rPr>
        <w:t xml:space="preserve">que resulten </w:t>
      </w:r>
      <w:r w:rsidRPr="00021934">
        <w:rPr>
          <w:szCs w:val="24"/>
        </w:rPr>
        <w:t>seleccionados en la semifinal deberá efectuarse al IAPG hasta dos semanas antes de la realización del certamen final. En casos extremos se aceptará comunicación por teléfono/</w:t>
      </w:r>
      <w:r w:rsidR="005D7078" w:rsidRPr="00021934">
        <w:rPr>
          <w:szCs w:val="24"/>
        </w:rPr>
        <w:t>correo electrónico</w:t>
      </w:r>
      <w:r w:rsidRPr="00021934">
        <w:rPr>
          <w:szCs w:val="24"/>
        </w:rPr>
        <w:t xml:space="preserve"> sujeta a confirmación posterior por carta.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b/>
          <w:i/>
          <w:szCs w:val="24"/>
        </w:rPr>
        <w:t>Art. 12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Las sedes habilitadas funcionarán en las siguientes ciudades: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Ciudad Autónoma de Buenos Aires</w:t>
      </w:r>
      <w:r w:rsidR="00E709F7" w:rsidRPr="00021934">
        <w:rPr>
          <w:szCs w:val="24"/>
        </w:rPr>
        <w:t>.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Comodoro Rivadavia (Chubut).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Córdoba (</w:t>
      </w:r>
      <w:r w:rsidR="00E86C1E" w:rsidRPr="00021934">
        <w:rPr>
          <w:szCs w:val="24"/>
        </w:rPr>
        <w:t>Córdoba</w:t>
      </w:r>
      <w:r w:rsidRPr="00021934">
        <w:rPr>
          <w:szCs w:val="24"/>
        </w:rPr>
        <w:t>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La Plata (</w:t>
      </w:r>
      <w:proofErr w:type="spellStart"/>
      <w:r w:rsidRPr="00021934">
        <w:rPr>
          <w:szCs w:val="24"/>
        </w:rPr>
        <w:t>Pcia</w:t>
      </w:r>
      <w:proofErr w:type="spellEnd"/>
      <w:r w:rsidRPr="00021934">
        <w:rPr>
          <w:szCs w:val="24"/>
        </w:rPr>
        <w:t>. de Buenos Aires)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Mendoza (</w:t>
      </w:r>
      <w:r w:rsidR="00E86C1E" w:rsidRPr="00021934">
        <w:rPr>
          <w:szCs w:val="24"/>
        </w:rPr>
        <w:t>Mendoza</w:t>
      </w:r>
      <w:r w:rsidRPr="00021934">
        <w:rPr>
          <w:szCs w:val="24"/>
        </w:rPr>
        <w:t>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Neuquén (</w:t>
      </w:r>
      <w:r w:rsidR="00E86C1E" w:rsidRPr="00021934">
        <w:rPr>
          <w:szCs w:val="24"/>
        </w:rPr>
        <w:t>Neuquen</w:t>
      </w:r>
      <w:r w:rsidRPr="00021934">
        <w:rPr>
          <w:szCs w:val="24"/>
        </w:rPr>
        <w:t>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 xml:space="preserve">Puerto </w:t>
      </w:r>
      <w:proofErr w:type="spellStart"/>
      <w:r w:rsidRPr="00021934">
        <w:rPr>
          <w:szCs w:val="24"/>
        </w:rPr>
        <w:t>Madryn</w:t>
      </w:r>
      <w:proofErr w:type="spellEnd"/>
      <w:r w:rsidRPr="00021934">
        <w:rPr>
          <w:szCs w:val="24"/>
        </w:rPr>
        <w:t xml:space="preserve"> (Chubut)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Río Gallegos (Santa Cruz)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Río Grande (Tierra del Fuego)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San Salvador de Jujuy (Jujuy)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Santa Rosa (La Pampa)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Tartagal (Salta)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lastRenderedPageBreak/>
        <w:t>San Miguel de Tucumán (Tucumán)</w:t>
      </w:r>
      <w:r w:rsidR="00EB3492" w:rsidRPr="00021934">
        <w:rPr>
          <w:szCs w:val="24"/>
        </w:rPr>
        <w:t>.</w:t>
      </w:r>
    </w:p>
    <w:p w:rsidR="00EB3492" w:rsidRPr="00021934" w:rsidRDefault="00EB3492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Viedma (Río Negro).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13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 xml:space="preserve">El ganador de la Olimpíada </w:t>
      </w:r>
      <w:r w:rsidR="00E86C1E" w:rsidRPr="00021934">
        <w:rPr>
          <w:szCs w:val="24"/>
        </w:rPr>
        <w:t xml:space="preserve">será el que resulte aprobado en las resulte </w:t>
      </w:r>
      <w:r w:rsidRPr="00021934">
        <w:rPr>
          <w:szCs w:val="24"/>
        </w:rPr>
        <w:t>surgirá de cuatro evaluaciones: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ind w:left="360" w:hanging="360"/>
        <w:rPr>
          <w:szCs w:val="24"/>
        </w:rPr>
      </w:pPr>
      <w:r w:rsidRPr="00021934">
        <w:rPr>
          <w:szCs w:val="24"/>
        </w:rPr>
        <w:t>1.</w:t>
      </w:r>
      <w:r w:rsidRPr="00021934">
        <w:rPr>
          <w:szCs w:val="24"/>
        </w:rPr>
        <w:tab/>
        <w:t>La primera ronda (Selección Local) se hará en cada establecimiento educativo a criterio del mismo.</w:t>
      </w:r>
    </w:p>
    <w:p w:rsidR="00C26A75" w:rsidRPr="00021934" w:rsidRDefault="00C26A75" w:rsidP="00C26A75">
      <w:pPr>
        <w:ind w:left="360" w:hanging="360"/>
        <w:rPr>
          <w:szCs w:val="24"/>
        </w:rPr>
      </w:pPr>
    </w:p>
    <w:p w:rsidR="00C26A75" w:rsidRPr="00021934" w:rsidRDefault="00C26A75" w:rsidP="00C26A75">
      <w:pPr>
        <w:ind w:left="357" w:hanging="357"/>
        <w:rPr>
          <w:szCs w:val="24"/>
        </w:rPr>
      </w:pPr>
      <w:r w:rsidRPr="00021934">
        <w:rPr>
          <w:szCs w:val="24"/>
        </w:rPr>
        <w:t>2.</w:t>
      </w:r>
      <w:r w:rsidRPr="00021934">
        <w:rPr>
          <w:szCs w:val="24"/>
        </w:rPr>
        <w:tab/>
        <w:t>La segunda ronda (Selección Zonal) se hará en los colegios que asuman dicha responsabilidad, será por escrito por el sistema "Elección M</w:t>
      </w:r>
      <w:r w:rsidR="005D7078" w:rsidRPr="00021934">
        <w:rPr>
          <w:szCs w:val="24"/>
        </w:rPr>
        <w:t>ú</w:t>
      </w:r>
      <w:r w:rsidRPr="00021934">
        <w:rPr>
          <w:szCs w:val="24"/>
        </w:rPr>
        <w:t xml:space="preserve">ltiple" (Múltiple </w:t>
      </w:r>
      <w:proofErr w:type="spellStart"/>
      <w:r w:rsidRPr="00021934">
        <w:rPr>
          <w:szCs w:val="24"/>
        </w:rPr>
        <w:t>Choice</w:t>
      </w:r>
      <w:proofErr w:type="spellEnd"/>
      <w:r w:rsidRPr="00021934">
        <w:rPr>
          <w:szCs w:val="24"/>
        </w:rPr>
        <w:t>) y se aprobará con el 60 % de las respuestas correctas.</w:t>
      </w:r>
      <w:r w:rsidR="003349F3" w:rsidRPr="00021934">
        <w:rPr>
          <w:szCs w:val="24"/>
        </w:rPr>
        <w:t xml:space="preserve"> El Consejo Superior se reserva el derecho de invitar a participar de la Final a los alumnos que hayan obtenido los mejores puntajes, sin alcanzar el 60 % de respuestas correctas.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pStyle w:val="Sangradetextonormal"/>
        <w:rPr>
          <w:sz w:val="24"/>
          <w:szCs w:val="24"/>
        </w:rPr>
      </w:pPr>
      <w:r w:rsidRPr="00021934">
        <w:rPr>
          <w:sz w:val="24"/>
          <w:szCs w:val="24"/>
        </w:rPr>
        <w:t>3.</w:t>
      </w:r>
      <w:r w:rsidRPr="00021934">
        <w:rPr>
          <w:sz w:val="24"/>
          <w:szCs w:val="24"/>
        </w:rPr>
        <w:tab/>
        <w:t>La tercera ronda (Semifinal Regional) se hará por escrito, por el sistema "Elección Múltiple" (</w:t>
      </w:r>
      <w:proofErr w:type="spellStart"/>
      <w:r w:rsidRPr="00021934">
        <w:rPr>
          <w:sz w:val="24"/>
          <w:szCs w:val="24"/>
        </w:rPr>
        <w:t>Multiple</w:t>
      </w:r>
      <w:proofErr w:type="spellEnd"/>
      <w:r w:rsidRPr="00021934">
        <w:rPr>
          <w:sz w:val="24"/>
          <w:szCs w:val="24"/>
        </w:rPr>
        <w:t xml:space="preserve"> </w:t>
      </w:r>
      <w:proofErr w:type="spellStart"/>
      <w:r w:rsidRPr="00021934">
        <w:rPr>
          <w:sz w:val="24"/>
          <w:szCs w:val="24"/>
        </w:rPr>
        <w:t>Choice</w:t>
      </w:r>
      <w:proofErr w:type="spellEnd"/>
      <w:r w:rsidRPr="00021934">
        <w:rPr>
          <w:sz w:val="24"/>
          <w:szCs w:val="24"/>
        </w:rPr>
        <w:t xml:space="preserve">) y tendrá como sede a las mencionadas en el Art. 12. Eventualmente, si el número de candidatos lo justifica, podrán cambiarse las sedes. Aprobarán esta ronda todos los alumnos que obtengan como mínimo el 80 % de las respuestas correctas. El </w:t>
      </w:r>
      <w:r w:rsidR="003349F3" w:rsidRPr="00021934">
        <w:rPr>
          <w:sz w:val="24"/>
          <w:szCs w:val="24"/>
        </w:rPr>
        <w:t>Consejo Superior</w:t>
      </w:r>
      <w:r w:rsidRPr="00021934">
        <w:rPr>
          <w:sz w:val="24"/>
          <w:szCs w:val="24"/>
        </w:rPr>
        <w:t xml:space="preserve"> se reserva el derecho de invitar a participar de la Final a los alumnos que hayan obtenido los mejores puntajes, sin alcanzar el 80 % de respuestas correctas.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rPr>
          <w:strike/>
          <w:color w:val="FF0000"/>
          <w:szCs w:val="24"/>
        </w:rPr>
      </w:pPr>
    </w:p>
    <w:p w:rsidR="00C26A75" w:rsidRPr="00021934" w:rsidRDefault="00C26A75" w:rsidP="00C26A75">
      <w:pPr>
        <w:pStyle w:val="Sangradetextonormal"/>
        <w:rPr>
          <w:sz w:val="24"/>
          <w:szCs w:val="24"/>
        </w:rPr>
      </w:pPr>
      <w:r w:rsidRPr="00021934">
        <w:rPr>
          <w:sz w:val="24"/>
          <w:szCs w:val="24"/>
        </w:rPr>
        <w:t>4.</w:t>
      </w:r>
      <w:r w:rsidRPr="00021934">
        <w:rPr>
          <w:sz w:val="24"/>
          <w:szCs w:val="24"/>
        </w:rPr>
        <w:tab/>
        <w:t>La Final será en sede a designar. Se notificará la sede con 7 días de anticipación.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444F2B">
      <w:pPr>
        <w:numPr>
          <w:ilvl w:val="0"/>
          <w:numId w:val="2"/>
        </w:numPr>
        <w:ind w:firstLine="66"/>
        <w:rPr>
          <w:szCs w:val="24"/>
        </w:rPr>
      </w:pPr>
      <w:r w:rsidRPr="00021934">
        <w:rPr>
          <w:szCs w:val="24"/>
        </w:rPr>
        <w:t>La prueba final podrá ser escrita u oral por decisión de</w:t>
      </w:r>
      <w:r w:rsidR="00DD3423" w:rsidRPr="00021934">
        <w:rPr>
          <w:szCs w:val="24"/>
        </w:rPr>
        <w:t xml:space="preserve"> </w:t>
      </w:r>
      <w:r w:rsidRPr="00021934">
        <w:rPr>
          <w:szCs w:val="24"/>
        </w:rPr>
        <w:t>l</w:t>
      </w:r>
      <w:r w:rsidR="00DD3423" w:rsidRPr="00021934">
        <w:rPr>
          <w:szCs w:val="24"/>
        </w:rPr>
        <w:t>a</w:t>
      </w:r>
      <w:r w:rsidRPr="00021934">
        <w:rPr>
          <w:szCs w:val="24"/>
        </w:rPr>
        <w:t xml:space="preserve"> </w:t>
      </w:r>
      <w:r w:rsidR="00DD3423" w:rsidRPr="00021934">
        <w:rPr>
          <w:szCs w:val="24"/>
        </w:rPr>
        <w:t>Comisión de Educación</w:t>
      </w:r>
      <w:r w:rsidRPr="00021934">
        <w:rPr>
          <w:szCs w:val="24"/>
        </w:rPr>
        <w:t>.</w:t>
      </w:r>
    </w:p>
    <w:p w:rsidR="00C26A75" w:rsidRPr="00021934" w:rsidRDefault="00C26A75" w:rsidP="00444F2B">
      <w:pPr>
        <w:numPr>
          <w:ilvl w:val="0"/>
          <w:numId w:val="2"/>
        </w:numPr>
        <w:ind w:firstLine="66"/>
        <w:rPr>
          <w:szCs w:val="24"/>
        </w:rPr>
      </w:pPr>
      <w:r w:rsidRPr="00021934">
        <w:rPr>
          <w:szCs w:val="24"/>
        </w:rPr>
        <w:t>En todos los casos las decisiones de</w:t>
      </w:r>
      <w:r w:rsidR="00DD3423" w:rsidRPr="00021934">
        <w:rPr>
          <w:szCs w:val="24"/>
        </w:rPr>
        <w:t xml:space="preserve"> </w:t>
      </w:r>
      <w:r w:rsidRPr="00021934">
        <w:rPr>
          <w:szCs w:val="24"/>
        </w:rPr>
        <w:t>l</w:t>
      </w:r>
      <w:r w:rsidR="00DD3423" w:rsidRPr="00021934">
        <w:rPr>
          <w:szCs w:val="24"/>
        </w:rPr>
        <w:t>a</w:t>
      </w:r>
      <w:r w:rsidRPr="00021934">
        <w:rPr>
          <w:szCs w:val="24"/>
        </w:rPr>
        <w:t xml:space="preserve"> </w:t>
      </w:r>
      <w:r w:rsidR="00FC5195" w:rsidRPr="00021934">
        <w:rPr>
          <w:szCs w:val="24"/>
        </w:rPr>
        <w:t>Comisión de Educación</w:t>
      </w:r>
      <w:r w:rsidRPr="00021934">
        <w:rPr>
          <w:szCs w:val="24"/>
        </w:rPr>
        <w:t xml:space="preserve"> serán inapelables.</w:t>
      </w:r>
    </w:p>
    <w:p w:rsidR="00C26A75" w:rsidRDefault="00C26A75" w:rsidP="00444F2B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rPr>
          <w:szCs w:val="24"/>
        </w:rPr>
      </w:pPr>
      <w:r w:rsidRPr="00021934">
        <w:rPr>
          <w:szCs w:val="24"/>
        </w:rPr>
        <w:t xml:space="preserve">Mención: el ganador de la final recibirá un diploma de honor de manos del Presidente del </w:t>
      </w:r>
      <w:r w:rsidR="00444F2B" w:rsidRPr="00021934">
        <w:rPr>
          <w:szCs w:val="24"/>
        </w:rPr>
        <w:t>IAPG.</w:t>
      </w:r>
    </w:p>
    <w:p w:rsidR="00C401AD" w:rsidRDefault="00C401AD" w:rsidP="00C401AD">
      <w:pPr>
        <w:ind w:left="426"/>
        <w:rPr>
          <w:szCs w:val="24"/>
        </w:rPr>
      </w:pPr>
    </w:p>
    <w:p w:rsidR="00C401AD" w:rsidRPr="00021934" w:rsidRDefault="00C401AD" w:rsidP="00C401AD">
      <w:pPr>
        <w:ind w:left="426" w:hanging="426"/>
        <w:rPr>
          <w:szCs w:val="24"/>
        </w:rPr>
      </w:pPr>
      <w:r>
        <w:rPr>
          <w:szCs w:val="24"/>
        </w:rPr>
        <w:t>5.   En caso de observaciones o reclamos posteriores a la corrección de los exámenes, por parte de docentes o alumnos, serán recibidos y considerados hasta 15 días antes de la siguiente instancia. Cumplido ese plazo no serán tomados en cuenta.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14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Los gastos y riesgos que demande la participación de los alumnos corren por cuenta y cargo de los propios participantes y/o de</w:t>
      </w:r>
      <w:r w:rsidR="00FC5195" w:rsidRPr="00021934">
        <w:rPr>
          <w:szCs w:val="24"/>
        </w:rPr>
        <w:t xml:space="preserve"> las Escuelas o Instituciones a los </w:t>
      </w:r>
      <w:r w:rsidRPr="00021934">
        <w:rPr>
          <w:szCs w:val="24"/>
        </w:rPr>
        <w:t>que pertenezcan los mismos.</w:t>
      </w:r>
    </w:p>
    <w:p w:rsidR="00C26A75" w:rsidRDefault="00C26A75" w:rsidP="00C26A75">
      <w:pPr>
        <w:rPr>
          <w:szCs w:val="24"/>
        </w:rPr>
      </w:pPr>
    </w:p>
    <w:p w:rsidR="00C401AD" w:rsidRDefault="00C401AD" w:rsidP="00C26A75">
      <w:pPr>
        <w:rPr>
          <w:szCs w:val="24"/>
        </w:rPr>
      </w:pPr>
    </w:p>
    <w:p w:rsidR="00C401AD" w:rsidRPr="00021934" w:rsidRDefault="00C401AD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15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szCs w:val="24"/>
          <w:u w:val="single"/>
        </w:rPr>
      </w:pPr>
      <w:r w:rsidRPr="00021934">
        <w:rPr>
          <w:b/>
          <w:szCs w:val="24"/>
          <w:u w:val="single"/>
        </w:rPr>
        <w:lastRenderedPageBreak/>
        <w:t>Cronograma</w:t>
      </w:r>
    </w:p>
    <w:p w:rsidR="00C26A75" w:rsidRPr="00021934" w:rsidRDefault="00C26A75" w:rsidP="00C26A75">
      <w:pPr>
        <w:rPr>
          <w:szCs w:val="24"/>
        </w:rPr>
      </w:pPr>
    </w:p>
    <w:p w:rsidR="00C33240" w:rsidRPr="00C33240" w:rsidRDefault="00C33240" w:rsidP="00C33240">
      <w:pPr>
        <w:rPr>
          <w:szCs w:val="24"/>
        </w:rPr>
      </w:pPr>
      <w:r w:rsidRPr="00C33240">
        <w:rPr>
          <w:szCs w:val="24"/>
        </w:rPr>
        <w:tab/>
      </w:r>
      <w:r w:rsidRPr="00C33240">
        <w:rPr>
          <w:szCs w:val="24"/>
        </w:rPr>
        <w:tab/>
        <w:t xml:space="preserve">Cierre de Inscripción: </w:t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  <w:t>01.07.22</w:t>
      </w:r>
    </w:p>
    <w:p w:rsidR="00C33240" w:rsidRPr="00C33240" w:rsidRDefault="00C33240" w:rsidP="00C33240">
      <w:pPr>
        <w:rPr>
          <w:szCs w:val="24"/>
        </w:rPr>
      </w:pPr>
      <w:r w:rsidRPr="00C33240">
        <w:rPr>
          <w:szCs w:val="24"/>
        </w:rPr>
        <w:tab/>
      </w:r>
      <w:r w:rsidRPr="00C33240">
        <w:rPr>
          <w:szCs w:val="24"/>
        </w:rPr>
        <w:tab/>
        <w:t>Selección Local:</w:t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  <w:t>05.08.22</w:t>
      </w:r>
    </w:p>
    <w:p w:rsidR="00C33240" w:rsidRPr="00C33240" w:rsidRDefault="00C33240" w:rsidP="00C33240">
      <w:pPr>
        <w:rPr>
          <w:szCs w:val="24"/>
        </w:rPr>
      </w:pPr>
      <w:r w:rsidRPr="00C33240">
        <w:rPr>
          <w:szCs w:val="24"/>
        </w:rPr>
        <w:tab/>
      </w:r>
      <w:r w:rsidRPr="00C33240">
        <w:rPr>
          <w:szCs w:val="24"/>
        </w:rPr>
        <w:tab/>
        <w:t>Selección Zonal:</w:t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  <w:t>16.09.22</w:t>
      </w:r>
    </w:p>
    <w:p w:rsidR="00C33240" w:rsidRPr="00C33240" w:rsidRDefault="00C33240" w:rsidP="00C33240">
      <w:pPr>
        <w:rPr>
          <w:szCs w:val="24"/>
        </w:rPr>
      </w:pPr>
      <w:r w:rsidRPr="00C33240">
        <w:rPr>
          <w:szCs w:val="24"/>
        </w:rPr>
        <w:tab/>
      </w:r>
      <w:r w:rsidRPr="00C33240">
        <w:rPr>
          <w:szCs w:val="24"/>
        </w:rPr>
        <w:tab/>
        <w:t>Semifinal Regional:</w:t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  <w:t>21.10.22</w:t>
      </w:r>
    </w:p>
    <w:p w:rsidR="00C33240" w:rsidRPr="00C33240" w:rsidRDefault="00C33240" w:rsidP="00C33240">
      <w:pPr>
        <w:rPr>
          <w:szCs w:val="24"/>
        </w:rPr>
      </w:pPr>
      <w:r w:rsidRPr="00C33240">
        <w:rPr>
          <w:szCs w:val="24"/>
        </w:rPr>
        <w:tab/>
      </w:r>
      <w:r w:rsidRPr="00C33240">
        <w:rPr>
          <w:szCs w:val="24"/>
        </w:rPr>
        <w:tab/>
        <w:t>Final:</w:t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>
        <w:rPr>
          <w:szCs w:val="24"/>
        </w:rPr>
        <w:tab/>
      </w:r>
      <w:r w:rsidRPr="00C33240">
        <w:rPr>
          <w:szCs w:val="24"/>
        </w:rPr>
        <w:t>18.11.22</w:t>
      </w:r>
    </w:p>
    <w:p w:rsidR="00C26A75" w:rsidRPr="00EC168E" w:rsidRDefault="00C26A75" w:rsidP="00EC168E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16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szCs w:val="24"/>
          <w:u w:val="single"/>
        </w:rPr>
      </w:pPr>
      <w:r w:rsidRPr="00021934">
        <w:rPr>
          <w:b/>
          <w:szCs w:val="24"/>
          <w:u w:val="single"/>
        </w:rPr>
        <w:t>Temas</w:t>
      </w:r>
    </w:p>
    <w:p w:rsidR="00C26A75" w:rsidRPr="00021934" w:rsidRDefault="00C26A75" w:rsidP="00C26A75">
      <w:pPr>
        <w:rPr>
          <w:b/>
          <w:szCs w:val="24"/>
          <w:u w:val="single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Los temas sobre los cuales concursarán los aspirantes serán:</w:t>
      </w:r>
    </w:p>
    <w:p w:rsidR="00C26A75" w:rsidRPr="00021934" w:rsidRDefault="00C26A75" w:rsidP="00C26A75">
      <w:pPr>
        <w:rPr>
          <w:szCs w:val="24"/>
        </w:rPr>
      </w:pPr>
    </w:p>
    <w:p w:rsidR="0056573A" w:rsidRPr="0056573A" w:rsidRDefault="004E25B0" w:rsidP="004E25B0">
      <w:pPr>
        <w:pStyle w:val="Prrafodelista"/>
        <w:numPr>
          <w:ilvl w:val="0"/>
          <w:numId w:val="5"/>
        </w:numPr>
        <w:jc w:val="left"/>
        <w:rPr>
          <w:sz w:val="22"/>
          <w:szCs w:val="22"/>
          <w:lang w:val="es-AR" w:eastAsia="es-AR"/>
        </w:rPr>
      </w:pPr>
      <w:r>
        <w:rPr>
          <w:bCs/>
          <w:iCs/>
          <w:color w:val="000000"/>
          <w:sz w:val="22"/>
          <w:szCs w:val="22"/>
          <w:lang w:val="es-AR" w:eastAsia="es-AR"/>
        </w:rPr>
        <w:t>Cambio Climático</w:t>
      </w:r>
    </w:p>
    <w:p w:rsidR="004E25B0" w:rsidRPr="004E25B0" w:rsidRDefault="004E25B0" w:rsidP="004E25B0">
      <w:pPr>
        <w:pStyle w:val="Prrafodelista"/>
        <w:numPr>
          <w:ilvl w:val="0"/>
          <w:numId w:val="5"/>
        </w:numPr>
        <w:jc w:val="left"/>
        <w:rPr>
          <w:sz w:val="22"/>
          <w:szCs w:val="22"/>
          <w:lang w:val="es-AR" w:eastAsia="es-AR"/>
        </w:rPr>
      </w:pPr>
      <w:r>
        <w:rPr>
          <w:bCs/>
          <w:iCs/>
          <w:color w:val="000000"/>
          <w:sz w:val="22"/>
          <w:szCs w:val="22"/>
          <w:lang w:val="es-AR" w:eastAsia="es-AR"/>
        </w:rPr>
        <w:t>Energía.</w:t>
      </w:r>
    </w:p>
    <w:p w:rsidR="004E25B0" w:rsidRPr="004E25B0" w:rsidRDefault="004E25B0" w:rsidP="004E25B0">
      <w:pPr>
        <w:pStyle w:val="Prrafodelista"/>
        <w:numPr>
          <w:ilvl w:val="0"/>
          <w:numId w:val="5"/>
        </w:numPr>
        <w:jc w:val="left"/>
        <w:rPr>
          <w:sz w:val="22"/>
          <w:szCs w:val="22"/>
          <w:lang w:val="es-AR" w:eastAsia="es-AR"/>
        </w:rPr>
      </w:pPr>
      <w:r w:rsidRPr="004E25B0">
        <w:rPr>
          <w:sz w:val="22"/>
          <w:szCs w:val="22"/>
          <w:lang w:val="es-AR" w:eastAsia="es-AR"/>
        </w:rPr>
        <w:t>P</w:t>
      </w:r>
      <w:r>
        <w:rPr>
          <w:sz w:val="22"/>
          <w:szCs w:val="22"/>
          <w:lang w:val="es-AR" w:eastAsia="es-AR"/>
        </w:rPr>
        <w:t>etróleo y Gas.</w:t>
      </w:r>
    </w:p>
    <w:p w:rsidR="0056573A" w:rsidRDefault="0056573A" w:rsidP="00C26A75">
      <w:pPr>
        <w:rPr>
          <w:b/>
          <w:i/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bookmarkStart w:id="0" w:name="_GoBack"/>
      <w:bookmarkEnd w:id="0"/>
      <w:r w:rsidRPr="00021934">
        <w:rPr>
          <w:b/>
          <w:i/>
          <w:szCs w:val="24"/>
        </w:rPr>
        <w:t>Art. 17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sola participación implica el conocimiento y la aceptación de toda la reglamentación vigente.</w:t>
      </w:r>
    </w:p>
    <w:p w:rsidR="00C26A75" w:rsidRPr="00021934" w:rsidRDefault="00C26A75" w:rsidP="00C26A75">
      <w:pPr>
        <w:rPr>
          <w:szCs w:val="24"/>
        </w:rPr>
      </w:pPr>
    </w:p>
    <w:p w:rsidR="00444F2B" w:rsidRPr="00021934" w:rsidRDefault="00444F2B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18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F64E39" w:rsidP="00C26A75">
      <w:pPr>
        <w:rPr>
          <w:szCs w:val="24"/>
        </w:rPr>
      </w:pPr>
      <w:r w:rsidRPr="00021934">
        <w:rPr>
          <w:szCs w:val="24"/>
        </w:rPr>
        <w:t>No podrán participar de</w:t>
      </w:r>
      <w:r w:rsidR="00C26A75" w:rsidRPr="00021934">
        <w:rPr>
          <w:szCs w:val="24"/>
        </w:rPr>
        <w:t>l</w:t>
      </w:r>
      <w:r w:rsidRPr="00021934">
        <w:rPr>
          <w:szCs w:val="24"/>
        </w:rPr>
        <w:t xml:space="preserve"> certamen</w:t>
      </w:r>
      <w:r w:rsidR="00C26A75" w:rsidRPr="00021934">
        <w:rPr>
          <w:szCs w:val="24"/>
        </w:rPr>
        <w:t xml:space="preserve"> los familiares directos, constituyentes del grupo familiar primario, del personal del IAPG y sus Seccionales</w:t>
      </w:r>
      <w:r w:rsidRPr="00021934">
        <w:rPr>
          <w:szCs w:val="24"/>
        </w:rPr>
        <w:t>, y</w:t>
      </w:r>
      <w:r w:rsidR="00C26A75" w:rsidRPr="00021934">
        <w:rPr>
          <w:szCs w:val="24"/>
        </w:rPr>
        <w:t xml:space="preserve"> de miembros de </w:t>
      </w:r>
      <w:r w:rsidRPr="00021934">
        <w:rPr>
          <w:szCs w:val="24"/>
        </w:rPr>
        <w:t>las comisiones técnicas e interdisciplinarias de la Institución</w:t>
      </w:r>
      <w:r w:rsidR="00C26A75" w:rsidRPr="00021934">
        <w:rPr>
          <w:szCs w:val="24"/>
        </w:rPr>
        <w:t>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szCs w:val="24"/>
        </w:rPr>
      </w:pPr>
      <w:r w:rsidRPr="00021934">
        <w:rPr>
          <w:b/>
          <w:szCs w:val="24"/>
        </w:rPr>
        <w:tab/>
        <w:t>Cualquier circunstancia no contemplada en el Reglamento y/o Instrucciones para Establecimientos o Seccionales del IAPG será resuelta en forma inapelable por el Consejo Superior.</w:t>
      </w:r>
    </w:p>
    <w:p w:rsidR="00C26A75" w:rsidRPr="00021934" w:rsidRDefault="00C26A75" w:rsidP="00C26A75">
      <w:pPr>
        <w:rPr>
          <w:b/>
          <w:szCs w:val="24"/>
        </w:rPr>
      </w:pP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Cs w:val="24"/>
        </w:rPr>
      </w:pPr>
      <w:r w:rsidRPr="00021934">
        <w:rPr>
          <w:b/>
          <w:i/>
          <w:szCs w:val="24"/>
        </w:rPr>
        <w:t>INFORMES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IAPG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INSTITUTO ARGENTINO DEL PETROLEO Y DEL GAS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Maipú 645, 3er. Piso – C1006ACG Buenos Aires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  <w:lang w:val="es-AR"/>
        </w:rPr>
      </w:pPr>
      <w:r w:rsidRPr="00021934">
        <w:rPr>
          <w:b/>
          <w:szCs w:val="24"/>
          <w:lang w:val="es-AR"/>
        </w:rPr>
        <w:t>Tel: (54 11) 4325-8008 (</w:t>
      </w:r>
      <w:proofErr w:type="spellStart"/>
      <w:r w:rsidRPr="00021934">
        <w:rPr>
          <w:b/>
          <w:szCs w:val="24"/>
          <w:lang w:val="es-AR"/>
        </w:rPr>
        <w:t>int</w:t>
      </w:r>
      <w:proofErr w:type="spellEnd"/>
      <w:r w:rsidRPr="00021934">
        <w:rPr>
          <w:b/>
          <w:szCs w:val="24"/>
          <w:lang w:val="es-AR"/>
        </w:rPr>
        <w:t>. 154 / 161) - Fax: (54 11) 4393-5494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  <w:lang w:val="es-AR"/>
        </w:rPr>
      </w:pPr>
      <w:r w:rsidRPr="00021934">
        <w:rPr>
          <w:b/>
          <w:szCs w:val="24"/>
        </w:rPr>
        <w:t>(Andrés Peña Sepúlveda – Miriam Gómez Ramírez)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  <w:lang w:val="fr-FR"/>
        </w:rPr>
      </w:pPr>
      <w:r w:rsidRPr="00021934">
        <w:rPr>
          <w:b/>
          <w:szCs w:val="24"/>
          <w:lang w:val="fr-FR"/>
        </w:rPr>
        <w:t>e.mail: apena@iapg.org.ar / mgramirez@iap</w:t>
      </w:r>
      <w:r w:rsidR="003B4E4E">
        <w:rPr>
          <w:b/>
          <w:szCs w:val="24"/>
          <w:lang w:val="fr-FR"/>
        </w:rPr>
        <w:t>g.org.ar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www.iapg.org.ar</w:t>
      </w:r>
    </w:p>
    <w:p w:rsidR="001547A9" w:rsidRPr="00021934" w:rsidRDefault="001547A9">
      <w:pPr>
        <w:rPr>
          <w:szCs w:val="24"/>
        </w:rPr>
      </w:pPr>
    </w:p>
    <w:sectPr w:rsidR="001547A9" w:rsidRPr="00021934" w:rsidSect="00154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EF9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66D0A"/>
    <w:multiLevelType w:val="hybridMultilevel"/>
    <w:tmpl w:val="C1B254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73B5"/>
    <w:multiLevelType w:val="hybridMultilevel"/>
    <w:tmpl w:val="823484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118F"/>
    <w:multiLevelType w:val="hybridMultilevel"/>
    <w:tmpl w:val="82928B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3D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5"/>
    <w:rsid w:val="00021934"/>
    <w:rsid w:val="000360FD"/>
    <w:rsid w:val="00063976"/>
    <w:rsid w:val="00121864"/>
    <w:rsid w:val="001547A9"/>
    <w:rsid w:val="0019718A"/>
    <w:rsid w:val="002049E8"/>
    <w:rsid w:val="002344E8"/>
    <w:rsid w:val="002E6689"/>
    <w:rsid w:val="003349F3"/>
    <w:rsid w:val="00366C3C"/>
    <w:rsid w:val="003B4E4E"/>
    <w:rsid w:val="00444F2B"/>
    <w:rsid w:val="0047274F"/>
    <w:rsid w:val="00473E5B"/>
    <w:rsid w:val="004E25B0"/>
    <w:rsid w:val="004E4A94"/>
    <w:rsid w:val="0050545E"/>
    <w:rsid w:val="00531FDD"/>
    <w:rsid w:val="00553841"/>
    <w:rsid w:val="0056573A"/>
    <w:rsid w:val="005D7078"/>
    <w:rsid w:val="00633B90"/>
    <w:rsid w:val="006A5315"/>
    <w:rsid w:val="006F77F4"/>
    <w:rsid w:val="007213A1"/>
    <w:rsid w:val="00766B55"/>
    <w:rsid w:val="007B03DA"/>
    <w:rsid w:val="008417C9"/>
    <w:rsid w:val="0084626B"/>
    <w:rsid w:val="00851729"/>
    <w:rsid w:val="008717A3"/>
    <w:rsid w:val="00891155"/>
    <w:rsid w:val="00893310"/>
    <w:rsid w:val="008943F3"/>
    <w:rsid w:val="00897B63"/>
    <w:rsid w:val="008B02E8"/>
    <w:rsid w:val="009001B4"/>
    <w:rsid w:val="0090071D"/>
    <w:rsid w:val="0096226C"/>
    <w:rsid w:val="00A271F8"/>
    <w:rsid w:val="00A47FB5"/>
    <w:rsid w:val="00AB2035"/>
    <w:rsid w:val="00BD7DC3"/>
    <w:rsid w:val="00BE2BA1"/>
    <w:rsid w:val="00C26A75"/>
    <w:rsid w:val="00C33240"/>
    <w:rsid w:val="00C401AD"/>
    <w:rsid w:val="00D22E2C"/>
    <w:rsid w:val="00D22F62"/>
    <w:rsid w:val="00DD3423"/>
    <w:rsid w:val="00E16F1B"/>
    <w:rsid w:val="00E709F7"/>
    <w:rsid w:val="00E86C1E"/>
    <w:rsid w:val="00EB3492"/>
    <w:rsid w:val="00EC168E"/>
    <w:rsid w:val="00F02173"/>
    <w:rsid w:val="00F64E39"/>
    <w:rsid w:val="00F6665A"/>
    <w:rsid w:val="00FB72E8"/>
    <w:rsid w:val="00FC5195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5BAC"/>
  <w15:docId w15:val="{4EB5CE59-597A-4AD2-8AFE-9FDF0ED2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75"/>
    <w:pPr>
      <w:jc w:val="both"/>
    </w:pPr>
    <w:rPr>
      <w:rFonts w:ascii="Times New Roman" w:eastAsia="Times New Roman" w:hAnsi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26A75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C26A75"/>
    <w:pPr>
      <w:keepNext/>
      <w:ind w:left="357" w:hanging="357"/>
      <w:outlineLvl w:val="1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26A7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link w:val="Ttulo2"/>
    <w:rsid w:val="00C26A75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C26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C26A7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C26A75"/>
    <w:pPr>
      <w:ind w:left="357" w:hanging="357"/>
    </w:pPr>
    <w:rPr>
      <w:sz w:val="22"/>
    </w:rPr>
  </w:style>
  <w:style w:type="character" w:customStyle="1" w:styleId="SangradetextonormalCar">
    <w:name w:val="Sangría de texto normal Car"/>
    <w:link w:val="Sangradetextonormal"/>
    <w:semiHidden/>
    <w:rsid w:val="00C26A7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26A75"/>
    <w:pPr>
      <w:jc w:val="left"/>
    </w:pPr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C26A75"/>
    <w:rPr>
      <w:rFonts w:ascii="Consolas" w:eastAsia="Calibri" w:hAnsi="Consolas" w:cs="Times New Roman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C26A75"/>
    <w:pPr>
      <w:ind w:left="708"/>
    </w:pPr>
  </w:style>
  <w:style w:type="character" w:styleId="Refdecomentario">
    <w:name w:val="annotation reference"/>
    <w:uiPriority w:val="99"/>
    <w:semiHidden/>
    <w:unhideWhenUsed/>
    <w:rsid w:val="00C26A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A75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C26A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97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Peña Sepulveda</dc:creator>
  <cp:lastModifiedBy>Fernando Halperin</cp:lastModifiedBy>
  <cp:revision>4</cp:revision>
  <dcterms:created xsi:type="dcterms:W3CDTF">2021-04-19T14:23:00Z</dcterms:created>
  <dcterms:modified xsi:type="dcterms:W3CDTF">2022-03-16T12:29:00Z</dcterms:modified>
</cp:coreProperties>
</file>